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F62792" w:rsidP="00AC1728">
      <w:pPr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ect id="_x0000_s1068" style="position:absolute;margin-left:-9.4pt;margin-top:-22.4pt;width:88.1pt;height:58.9pt;z-index:251660288" fillcolor="#c00" strokecolor="yellow" strokeweight="4.5pt">
            <v:textbox style="mso-next-textbox:#_x0000_s1068">
              <w:txbxContent>
                <w:p w:rsidR="00F62792" w:rsidRPr="00F62792" w:rsidRDefault="00F62792" w:rsidP="00F62792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F62792"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209550" cy="278584"/>
                        <wp:effectExtent l="19050" t="0" r="0" b="0"/>
                        <wp:docPr id="1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35" cy="283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2792" w:rsidRPr="00F62792" w:rsidRDefault="00F62792" w:rsidP="00F62792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F62792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КРАСНОДАРСКИЙ КРАЙ</w:t>
                  </w:r>
                </w:p>
                <w:p w:rsidR="00F62792" w:rsidRPr="00F62792" w:rsidRDefault="00F62792" w:rsidP="00F62792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F62792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г. ГУЛЬКЕВИЧИ</w:t>
                  </w:r>
                </w:p>
                <w:p w:rsidR="00F62792" w:rsidRPr="00F62792" w:rsidRDefault="00F62792" w:rsidP="00F62792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4"/>
                      <w:szCs w:val="4"/>
                    </w:rPr>
                  </w:pPr>
                </w:p>
                <w:p w:rsidR="00F62792" w:rsidRPr="00F62792" w:rsidRDefault="00F62792" w:rsidP="00F62792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F62792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МУНИЦИПАЛЬНОЕ КАЗЕННОЕ ОБРАЗОВАТЕЛЬНОЕ УЧРЕЖДЕНИЕ</w:t>
                  </w:r>
                </w:p>
                <w:p w:rsidR="00F62792" w:rsidRPr="00F62792" w:rsidRDefault="00F62792" w:rsidP="00F62792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F62792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ДОПОЛНИТЕЛЬНОГО ПРОФЕССИОНАЛЬНОГО ОБРАЗОВАНИЯ</w:t>
                  </w:r>
                </w:p>
                <w:p w:rsidR="00F62792" w:rsidRPr="00F62792" w:rsidRDefault="00F62792" w:rsidP="00F62792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F62792">
                    <w:rPr>
                      <w:rFonts w:asciiTheme="minorHAnsi" w:hAnsiTheme="minorHAnsi"/>
                      <w:b/>
                      <w:color w:val="FFFF00"/>
                      <w:sz w:val="10"/>
                      <w:szCs w:val="10"/>
                    </w:rPr>
                    <w:t xml:space="preserve"> «КУРСЫ ГРАЖДАНСКОЙ ОБОРОНЫ» </w:t>
                  </w:r>
                  <w:r w:rsidRPr="00F62792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МУНИЦИПАЛЬНОГО ОБРАЗОВАНИЯ  ГУЛЬКЕВИЧСКИЙ РАЙОН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21.45pt;margin-top:-27.3pt;width:399.25pt;height:70.6pt;z-index:251662336" o:regroupid="1" fillcolor="yellow" stroked="f">
            <v:shadow on="t" opacity=".5" offset="-6pt,6pt"/>
            <v:textbox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BC6631" w:rsidRDefault="00AC1728" w:rsidP="00F62792">
                  <w:pPr>
                    <w:ind w:firstLine="180"/>
                    <w:jc w:val="right"/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</w:pPr>
                  <w:r w:rsidRPr="00BC6631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>ЗНАТЬ И УМЕТЬ</w:t>
                  </w:r>
                  <w:r w:rsidRPr="00BC6631"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DD52F4" w:rsidRDefault="00DD52F4" w:rsidP="00DD52F4">
      <w:pPr>
        <w:ind w:left="1560"/>
        <w:jc w:val="center"/>
        <w:rPr>
          <w:b/>
          <w:color w:val="1B05E9"/>
          <w:sz w:val="28"/>
          <w:szCs w:val="28"/>
        </w:rPr>
      </w:pPr>
      <w:r>
        <w:rPr>
          <w:b/>
          <w:color w:val="1B05E9"/>
          <w:sz w:val="28"/>
          <w:szCs w:val="28"/>
        </w:rPr>
        <w:t>Правила поведения детей и подростков в чрезвычайных ситуациях</w:t>
      </w:r>
    </w:p>
    <w:p w:rsidR="005C513C" w:rsidRDefault="00F81467" w:rsidP="00921FFF">
      <w:pPr>
        <w:ind w:left="1134"/>
        <w:jc w:val="center"/>
        <w:rPr>
          <w:b/>
          <w:color w:val="FF0000"/>
          <w:sz w:val="44"/>
          <w:szCs w:val="44"/>
          <w:lang w:val="en-US"/>
        </w:rPr>
      </w:pPr>
      <w:r w:rsidRPr="00F81467">
        <w:rPr>
          <w:b/>
          <w:color w:val="FF0000"/>
          <w:sz w:val="44"/>
          <w:szCs w:val="44"/>
        </w:rPr>
        <w:t>П</w:t>
      </w:r>
      <w:r w:rsidR="004E6760" w:rsidRPr="00F81467">
        <w:rPr>
          <w:b/>
          <w:color w:val="FF0000"/>
          <w:sz w:val="44"/>
          <w:szCs w:val="44"/>
        </w:rPr>
        <w:t xml:space="preserve">РОТИВОПОЖАРНАЯ СЛУЖБА </w:t>
      </w:r>
    </w:p>
    <w:p w:rsidR="00921FFF" w:rsidRPr="00921FFF" w:rsidRDefault="00921FFF" w:rsidP="00921FFF">
      <w:pPr>
        <w:pStyle w:val="af1"/>
        <w:spacing w:before="0" w:beforeAutospacing="0" w:after="0" w:afterAutospacing="0"/>
        <w:ind w:left="709"/>
        <w:jc w:val="center"/>
        <w:rPr>
          <w:b/>
          <w:color w:val="FF0000"/>
          <w:sz w:val="28"/>
          <w:szCs w:val="28"/>
        </w:rPr>
      </w:pPr>
      <w:r w:rsidRPr="00921FFF">
        <w:rPr>
          <w:b/>
          <w:color w:val="FF0000"/>
          <w:sz w:val="28"/>
          <w:szCs w:val="28"/>
        </w:rPr>
        <w:t>ПОМНИ!</w:t>
      </w:r>
    </w:p>
    <w:p w:rsidR="00921FFF" w:rsidRPr="00921FFF" w:rsidRDefault="00921FFF" w:rsidP="00921FFF">
      <w:pPr>
        <w:pStyle w:val="af1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921FFF">
        <w:rPr>
          <w:b/>
          <w:sz w:val="28"/>
          <w:szCs w:val="28"/>
        </w:rPr>
        <w:t>Для вызова пожарной охраны в телефонных сетях населенных пунктов устанавливается единый номер —</w:t>
      </w:r>
      <w:r w:rsidRPr="00921FFF">
        <w:rPr>
          <w:b/>
          <w:color w:val="C00000"/>
          <w:sz w:val="28"/>
          <w:szCs w:val="28"/>
        </w:rPr>
        <w:t xml:space="preserve"> </w:t>
      </w:r>
      <w:r w:rsidRPr="00921FFF">
        <w:rPr>
          <w:b/>
          <w:color w:val="C00000"/>
          <w:sz w:val="32"/>
          <w:szCs w:val="32"/>
        </w:rPr>
        <w:t>01.</w:t>
      </w:r>
    </w:p>
    <w:p w:rsidR="00921FFF" w:rsidRPr="00921FFF" w:rsidRDefault="00921FFF" w:rsidP="00921FFF">
      <w:pPr>
        <w:pStyle w:val="af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21FFF">
        <w:rPr>
          <w:b/>
          <w:sz w:val="28"/>
          <w:szCs w:val="28"/>
        </w:rPr>
        <w:t>Для вызова с сотовых телефонов устанавливается единый номер —</w:t>
      </w:r>
      <w:r w:rsidRPr="00921FFF">
        <w:rPr>
          <w:b/>
          <w:color w:val="C00000"/>
          <w:sz w:val="28"/>
          <w:szCs w:val="28"/>
        </w:rPr>
        <w:t xml:space="preserve"> </w:t>
      </w:r>
      <w:r w:rsidRPr="00921FFF">
        <w:rPr>
          <w:b/>
          <w:color w:val="C00000"/>
          <w:sz w:val="32"/>
          <w:szCs w:val="32"/>
        </w:rPr>
        <w:t>101</w:t>
      </w:r>
      <w:r w:rsidRPr="00921FFF">
        <w:rPr>
          <w:b/>
          <w:color w:val="C00000"/>
          <w:sz w:val="28"/>
          <w:szCs w:val="28"/>
        </w:rPr>
        <w:t>.</w:t>
      </w: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0916"/>
      </w:tblGrid>
      <w:tr w:rsidR="008C1787" w:rsidRPr="00470A1A" w:rsidTr="00776436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FAF"/>
          </w:tcPr>
          <w:p w:rsidR="00F81467" w:rsidRPr="00F81467" w:rsidRDefault="00F62792" w:rsidP="00F81467">
            <w:pPr>
              <w:tabs>
                <w:tab w:val="left" w:pos="885"/>
                <w:tab w:val="left" w:pos="2303"/>
              </w:tabs>
              <w:suppressAutoHyphens w:val="0"/>
              <w:ind w:left="4212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45720</wp:posOffset>
                  </wp:positionV>
                  <wp:extent cx="2407285" cy="1562100"/>
                  <wp:effectExtent l="19050" t="0" r="0" b="0"/>
                  <wp:wrapNone/>
                  <wp:docPr id="41" name="Рисунок 41" descr="http://bk55.ru/fileadmin/bkinform/bk_info_orig_15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bk55.ru/fileadmin/bkinform/bk_info_orig_15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8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1467" w:rsidRPr="00255541">
              <w:rPr>
                <w:b/>
                <w:color w:val="00B050"/>
                <w:sz w:val="36"/>
                <w:szCs w:val="36"/>
              </w:rPr>
              <w:t>Пожар в квартире</w:t>
            </w:r>
            <w:r w:rsidR="00F81467" w:rsidRPr="00F81467">
              <w:rPr>
                <w:b/>
                <w:color w:val="00B050"/>
                <w:sz w:val="28"/>
                <w:szCs w:val="28"/>
              </w:rPr>
              <w:t>.</w:t>
            </w:r>
          </w:p>
          <w:p w:rsidR="00F81467" w:rsidRDefault="00F81467" w:rsidP="00255541">
            <w:pPr>
              <w:numPr>
                <w:ilvl w:val="0"/>
                <w:numId w:val="21"/>
              </w:numPr>
              <w:tabs>
                <w:tab w:val="left" w:pos="885"/>
                <w:tab w:val="left" w:pos="1440"/>
                <w:tab w:val="left" w:pos="4146"/>
              </w:tabs>
              <w:suppressAutoHyphens w:val="0"/>
              <w:ind w:left="4287"/>
              <w:jc w:val="both"/>
            </w:pPr>
            <w:r>
              <w:t>позвони по телефону в противопожарную службу и сообщи о случившемся;</w:t>
            </w:r>
          </w:p>
          <w:p w:rsidR="00F81467" w:rsidRDefault="00F81467" w:rsidP="00255541">
            <w:pPr>
              <w:numPr>
                <w:ilvl w:val="0"/>
                <w:numId w:val="21"/>
              </w:numPr>
              <w:tabs>
                <w:tab w:val="left" w:pos="885"/>
                <w:tab w:val="left" w:pos="1440"/>
                <w:tab w:val="left" w:pos="4146"/>
              </w:tabs>
              <w:suppressAutoHyphens w:val="0"/>
              <w:ind w:left="4287"/>
              <w:jc w:val="both"/>
            </w:pPr>
            <w:r>
              <w:t>быстро выведи на улицу младших братьев и сестер, престарелых;</w:t>
            </w:r>
          </w:p>
          <w:p w:rsidR="00F81467" w:rsidRDefault="00F81467" w:rsidP="00255541">
            <w:pPr>
              <w:numPr>
                <w:ilvl w:val="0"/>
                <w:numId w:val="21"/>
              </w:numPr>
              <w:tabs>
                <w:tab w:val="left" w:pos="885"/>
                <w:tab w:val="left" w:pos="1440"/>
                <w:tab w:val="left" w:pos="4146"/>
              </w:tabs>
              <w:suppressAutoHyphens w:val="0"/>
              <w:ind w:left="4287"/>
              <w:jc w:val="both"/>
            </w:pPr>
            <w:r>
              <w:t>туши пожар подручными средствами (водой, плотной мокрой тканью и т.п.);</w:t>
            </w:r>
          </w:p>
          <w:p w:rsidR="00F81467" w:rsidRDefault="00F81467" w:rsidP="00255541">
            <w:pPr>
              <w:numPr>
                <w:ilvl w:val="0"/>
                <w:numId w:val="21"/>
              </w:numPr>
              <w:tabs>
                <w:tab w:val="left" w:pos="885"/>
                <w:tab w:val="left" w:pos="1440"/>
                <w:tab w:val="left" w:pos="4146"/>
              </w:tabs>
              <w:suppressAutoHyphens w:val="0"/>
              <w:ind w:left="4287"/>
              <w:jc w:val="both"/>
            </w:pPr>
            <w:r>
              <w:t>во время пожара не открывай окна и двери, для уменьшения притока воздуха;</w:t>
            </w:r>
          </w:p>
          <w:p w:rsidR="00F81467" w:rsidRDefault="00F81467" w:rsidP="00BC39EB">
            <w:pPr>
              <w:numPr>
                <w:ilvl w:val="0"/>
                <w:numId w:val="21"/>
              </w:numPr>
              <w:tabs>
                <w:tab w:val="left" w:pos="318"/>
                <w:tab w:val="left" w:pos="4146"/>
              </w:tabs>
              <w:suppressAutoHyphens w:val="0"/>
              <w:ind w:left="34" w:hanging="34"/>
              <w:jc w:val="both"/>
            </w:pPr>
            <w:r>
              <w:t>если тебе не удается погасить пожар своими силами, немедленно п</w:t>
            </w:r>
            <w:r>
              <w:t>о</w:t>
            </w:r>
            <w:r>
              <w:t>кинь квартиру, закрыв за собой дверь;</w:t>
            </w:r>
          </w:p>
          <w:p w:rsidR="00F81467" w:rsidRDefault="00F62792" w:rsidP="00BC39EB">
            <w:pPr>
              <w:numPr>
                <w:ilvl w:val="0"/>
                <w:numId w:val="21"/>
              </w:numPr>
              <w:tabs>
                <w:tab w:val="left" w:pos="318"/>
                <w:tab w:val="left" w:pos="4146"/>
              </w:tabs>
              <w:suppressAutoHyphens w:val="0"/>
              <w:ind w:left="34" w:hanging="34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422275</wp:posOffset>
                  </wp:positionV>
                  <wp:extent cx="1964055" cy="1473200"/>
                  <wp:effectExtent l="19050" t="0" r="0" b="0"/>
                  <wp:wrapNone/>
                  <wp:docPr id="42" name="Рисунок 42" descr="http://img02.rl0.ru/pgc/o/54b91a0a-d499-8e5d-d499-8e5214827e56.photo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g02.rl0.ru/pgc/o/54b91a0a-d499-8e5d-d499-8e5214827e56.photo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1467">
              <w:t>при невозможности выйти из квартиры через лестничные марши, и</w:t>
            </w:r>
            <w:r w:rsidR="00F81467">
              <w:t>с</w:t>
            </w:r>
            <w:r w:rsidR="00F81467">
              <w:t>пользуй балконную лестницу, а если ее нет, то выйди на балкон, закрыв плотно за собой дверь, и криками привлеки внимание прох</w:t>
            </w:r>
            <w:r w:rsidR="00F81467">
              <w:t>о</w:t>
            </w:r>
            <w:r w:rsidR="00F81467">
              <w:t>жих.</w:t>
            </w:r>
          </w:p>
          <w:p w:rsidR="00F81467" w:rsidRPr="00F81467" w:rsidRDefault="00F81467" w:rsidP="00F81467">
            <w:pPr>
              <w:tabs>
                <w:tab w:val="left" w:pos="0"/>
              </w:tabs>
              <w:suppressAutoHyphens w:val="0"/>
              <w:ind w:left="-360" w:right="34"/>
              <w:jc w:val="center"/>
              <w:rPr>
                <w:b/>
                <w:color w:val="00B050"/>
                <w:sz w:val="28"/>
                <w:szCs w:val="28"/>
              </w:rPr>
            </w:pPr>
            <w:r w:rsidRPr="00F81467">
              <w:rPr>
                <w:b/>
                <w:color w:val="00B050"/>
                <w:sz w:val="28"/>
                <w:szCs w:val="28"/>
              </w:rPr>
              <w:t>Горит телевизор.</w:t>
            </w:r>
          </w:p>
          <w:p w:rsidR="00F81467" w:rsidRDefault="00F81467" w:rsidP="00255541">
            <w:pPr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right="3436" w:firstLine="0"/>
              <w:jc w:val="both"/>
            </w:pPr>
            <w:r>
              <w:t>выключи телевизор из розетки;</w:t>
            </w:r>
          </w:p>
          <w:p w:rsidR="00F81467" w:rsidRDefault="00F81467" w:rsidP="00255541">
            <w:pPr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right="3436" w:firstLine="0"/>
              <w:jc w:val="both"/>
            </w:pPr>
            <w:r>
              <w:t>сообщи о загорании в противопожарную службу по телефону</w:t>
            </w:r>
            <w:r w:rsidRPr="00BC39EB">
              <w:rPr>
                <w:color w:val="00B050"/>
              </w:rPr>
              <w:t>;</w:t>
            </w:r>
          </w:p>
          <w:p w:rsidR="00F81467" w:rsidRDefault="00F81467" w:rsidP="00255541">
            <w:pPr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right="3436" w:firstLine="0"/>
              <w:jc w:val="both"/>
            </w:pPr>
            <w:r>
              <w:t>если после выключения горение не прекратилось, то залей телев</w:t>
            </w:r>
            <w:r>
              <w:t>и</w:t>
            </w:r>
            <w:r>
              <w:t>зор водой через отверстия задней стенки, находясь при этом сбоку от него;</w:t>
            </w:r>
          </w:p>
          <w:p w:rsidR="008C1787" w:rsidRPr="00255541" w:rsidRDefault="00F81467" w:rsidP="00255541">
            <w:pPr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right="3436" w:firstLine="0"/>
              <w:jc w:val="both"/>
              <w:rPr>
                <w:b/>
                <w:bCs/>
                <w:sz w:val="28"/>
                <w:szCs w:val="28"/>
              </w:rPr>
            </w:pPr>
            <w:r>
              <w:t>чтобы не отравиться ядовитым дымом, немедленно выведи из ква</w:t>
            </w:r>
            <w:r>
              <w:t>р</w:t>
            </w:r>
            <w:r>
              <w:t>тиры детей младшего возраста и престарелых.</w:t>
            </w:r>
          </w:p>
          <w:p w:rsidR="00255541" w:rsidRPr="0016683C" w:rsidRDefault="00255541" w:rsidP="00255541">
            <w:pPr>
              <w:tabs>
                <w:tab w:val="left" w:pos="535"/>
              </w:tabs>
              <w:suppressAutoHyphens w:val="0"/>
              <w:ind w:left="175" w:right="-817"/>
              <w:jc w:val="center"/>
              <w:rPr>
                <w:b/>
                <w:bCs/>
                <w:sz w:val="28"/>
                <w:szCs w:val="28"/>
              </w:rPr>
            </w:pPr>
            <w:r w:rsidRPr="00255541">
              <w:rPr>
                <w:color w:val="00B050"/>
                <w:sz w:val="28"/>
                <w:szCs w:val="28"/>
              </w:rPr>
              <w:t>Таким же образом действуй и при загорании других электрических приб</w:t>
            </w:r>
            <w:r w:rsidRPr="00255541">
              <w:rPr>
                <w:color w:val="00B050"/>
                <w:sz w:val="28"/>
                <w:szCs w:val="28"/>
              </w:rPr>
              <w:t>о</w:t>
            </w:r>
            <w:r w:rsidRPr="00255541">
              <w:rPr>
                <w:color w:val="00B050"/>
                <w:sz w:val="28"/>
                <w:szCs w:val="28"/>
              </w:rPr>
              <w:t>ров.</w:t>
            </w:r>
          </w:p>
        </w:tc>
      </w:tr>
      <w:tr w:rsidR="00196211" w:rsidRPr="00470A1A" w:rsidTr="00CB581E">
        <w:tc>
          <w:tcPr>
            <w:tcW w:w="10916" w:type="dxa"/>
            <w:tcBorders>
              <w:top w:val="single" w:sz="4" w:space="0" w:color="auto"/>
              <w:bottom w:val="single" w:sz="12" w:space="0" w:color="2F5496"/>
            </w:tcBorders>
            <w:shd w:val="clear" w:color="auto" w:fill="E1CCF0"/>
          </w:tcPr>
          <w:p w:rsidR="00F81467" w:rsidRPr="00255541" w:rsidRDefault="00F62792" w:rsidP="00255541">
            <w:pPr>
              <w:ind w:left="4571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24130</wp:posOffset>
                  </wp:positionV>
                  <wp:extent cx="2826385" cy="1269365"/>
                  <wp:effectExtent l="19050" t="0" r="0" b="0"/>
                  <wp:wrapNone/>
                  <wp:docPr id="43" name="Рисунок 43" descr="http://www.12rm.ru/wp-content/uploads/2015/03/pozhar-kvartira-pya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rm.ru/wp-content/uploads/2015/03/pozhar-kvartira-pya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126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1467" w:rsidRPr="00255541">
              <w:rPr>
                <w:b/>
                <w:color w:val="C00000"/>
                <w:sz w:val="36"/>
                <w:szCs w:val="36"/>
              </w:rPr>
              <w:t>Запах дыма в подъезде.</w:t>
            </w:r>
          </w:p>
          <w:p w:rsidR="00F81467" w:rsidRDefault="00F81467" w:rsidP="00255541">
            <w:pPr>
              <w:numPr>
                <w:ilvl w:val="0"/>
                <w:numId w:val="25"/>
              </w:numPr>
              <w:tabs>
                <w:tab w:val="left" w:pos="535"/>
                <w:tab w:val="left" w:pos="720"/>
              </w:tabs>
              <w:suppressAutoHyphens w:val="0"/>
              <w:ind w:left="4713" w:hanging="12"/>
              <w:jc w:val="both"/>
            </w:pPr>
            <w:r>
              <w:t>позвони по телефону в противопожарную службу;</w:t>
            </w:r>
          </w:p>
          <w:p w:rsidR="00F81467" w:rsidRDefault="00F81467" w:rsidP="00F7011D">
            <w:pPr>
              <w:numPr>
                <w:ilvl w:val="0"/>
                <w:numId w:val="25"/>
              </w:numPr>
              <w:tabs>
                <w:tab w:val="left" w:pos="535"/>
                <w:tab w:val="left" w:pos="720"/>
              </w:tabs>
              <w:suppressAutoHyphens w:val="0"/>
              <w:ind w:left="4713" w:hanging="12"/>
              <w:jc w:val="both"/>
            </w:pPr>
            <w:proofErr w:type="gramStart"/>
            <w:r>
              <w:t>если возможно, определи место горения (квартиру, почтовые ящики, мусоросборник и т.д.) и что горит (электропроводка</w:t>
            </w:r>
            <w:r w:rsidR="00902E24">
              <w:t xml:space="preserve">, </w:t>
            </w:r>
            <w:r>
              <w:t>пластмасс</w:t>
            </w:r>
            <w:r w:rsidR="00902E24">
              <w:t>а</w:t>
            </w:r>
            <w:r>
              <w:t>, вата, бумага, легковоспламеняющи</w:t>
            </w:r>
            <w:r>
              <w:t>е</w:t>
            </w:r>
            <w:r>
              <w:t>ся жидкости и т.д.);</w:t>
            </w:r>
            <w:proofErr w:type="gramEnd"/>
          </w:p>
          <w:p w:rsidR="00F81467" w:rsidRDefault="00F81467" w:rsidP="00921FFF">
            <w:pPr>
              <w:numPr>
                <w:ilvl w:val="7"/>
                <w:numId w:val="24"/>
              </w:numPr>
              <w:tabs>
                <w:tab w:val="left" w:pos="460"/>
              </w:tabs>
              <w:suppressAutoHyphens w:val="0"/>
              <w:ind w:left="4713" w:firstLine="0"/>
              <w:jc w:val="both"/>
            </w:pPr>
            <w:r>
              <w:t>постарайся потушить пожар подручными средствами;</w:t>
            </w:r>
          </w:p>
          <w:p w:rsidR="00F81467" w:rsidRDefault="00F81467" w:rsidP="00255541">
            <w:pPr>
              <w:numPr>
                <w:ilvl w:val="7"/>
                <w:numId w:val="24"/>
              </w:numPr>
              <w:tabs>
                <w:tab w:val="left" w:pos="460"/>
              </w:tabs>
              <w:suppressAutoHyphens w:val="0"/>
              <w:ind w:left="176" w:firstLine="0"/>
              <w:jc w:val="both"/>
            </w:pPr>
            <w:r>
              <w:t>если из горящей квартиры зовут на помощь, при необходимости п</w:t>
            </w:r>
            <w:r>
              <w:t>о</w:t>
            </w:r>
            <w:r>
              <w:t>зови соседей (ломайте дверь);</w:t>
            </w:r>
          </w:p>
          <w:p w:rsidR="00F81467" w:rsidRDefault="00F81467" w:rsidP="00255541">
            <w:pPr>
              <w:numPr>
                <w:ilvl w:val="7"/>
                <w:numId w:val="24"/>
              </w:numPr>
              <w:tabs>
                <w:tab w:val="left" w:pos="460"/>
              </w:tabs>
              <w:suppressAutoHyphens w:val="0"/>
              <w:ind w:left="176" w:firstLine="0"/>
              <w:jc w:val="both"/>
            </w:pPr>
            <w:proofErr w:type="gramStart"/>
            <w:r>
              <w:t>если пожар произошел не твоей квартире, и воспользоваться лестн</w:t>
            </w:r>
            <w:r>
              <w:t>и</w:t>
            </w:r>
            <w:r>
              <w:t>цей для выхода наружу из – за сильного задымления и огня нево</w:t>
            </w:r>
            <w:r>
              <w:t>з</w:t>
            </w:r>
            <w:r>
              <w:t>можно, то останься в квартире.</w:t>
            </w:r>
            <w:proofErr w:type="gramEnd"/>
            <w:r>
              <w:t xml:space="preserve"> Во </w:t>
            </w:r>
            <w:r w:rsidR="00902E24">
              <w:t>избежание</w:t>
            </w:r>
            <w:r>
              <w:t xml:space="preserve"> отравления дымом, закрой щели дверей и вентиляционные отверстия мокрыми одеял</w:t>
            </w:r>
            <w:r>
              <w:t>а</w:t>
            </w:r>
            <w:r>
              <w:t>ми, полотенцами и т.п. По прибытии пожарных подразделений подойди к окну</w:t>
            </w:r>
            <w:r w:rsidR="00902E24">
              <w:t xml:space="preserve"> </w:t>
            </w:r>
            <w:r>
              <w:t>(выйди на балкон, лоджию), привлеки их вн</w:t>
            </w:r>
            <w:r>
              <w:t>и</w:t>
            </w:r>
            <w:r>
              <w:t xml:space="preserve">мание и попроси оказать вам помощь. </w:t>
            </w:r>
          </w:p>
          <w:p w:rsidR="00F81467" w:rsidRPr="00255541" w:rsidRDefault="00F81467" w:rsidP="00255541">
            <w:pPr>
              <w:ind w:left="175"/>
              <w:jc w:val="both"/>
              <w:rPr>
                <w:b/>
                <w:i/>
                <w:color w:val="FF0000"/>
                <w:sz w:val="36"/>
                <w:szCs w:val="36"/>
              </w:rPr>
            </w:pPr>
            <w:r w:rsidRPr="00255541">
              <w:rPr>
                <w:b/>
                <w:color w:val="FF0000"/>
                <w:sz w:val="36"/>
                <w:szCs w:val="36"/>
                <w:u w:val="single"/>
              </w:rPr>
              <w:t>Запомни:</w:t>
            </w:r>
            <w:r w:rsidRPr="00255541">
              <w:rPr>
                <w:color w:val="FF0000"/>
                <w:sz w:val="36"/>
                <w:szCs w:val="36"/>
              </w:rPr>
              <w:t xml:space="preserve"> для эвакуации при пожаре пользоваться лифтом </w:t>
            </w:r>
            <w:r w:rsidRPr="00255541">
              <w:rPr>
                <w:b/>
                <w:i/>
                <w:color w:val="FF0000"/>
                <w:sz w:val="36"/>
                <w:szCs w:val="36"/>
              </w:rPr>
              <w:t>опасно!</w:t>
            </w:r>
          </w:p>
          <w:p w:rsidR="00196211" w:rsidRPr="006231E8" w:rsidRDefault="00196211" w:rsidP="00255541">
            <w:pPr>
              <w:tabs>
                <w:tab w:val="left" w:pos="536"/>
              </w:tabs>
              <w:suppressAutoHyphens w:val="0"/>
              <w:ind w:left="176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B581E" w:rsidRPr="00CB581E" w:rsidRDefault="00CB581E" w:rsidP="000714CB">
      <w:pPr>
        <w:jc w:val="center"/>
        <w:rPr>
          <w:i/>
          <w:color w:val="C00000"/>
          <w:sz w:val="16"/>
          <w:szCs w:val="16"/>
        </w:rPr>
      </w:pPr>
    </w:p>
    <w:p w:rsidR="00255541" w:rsidRPr="00255541" w:rsidRDefault="00255541" w:rsidP="00255541">
      <w:pPr>
        <w:jc w:val="center"/>
        <w:rPr>
          <w:b/>
          <w:color w:val="0070C0"/>
          <w:sz w:val="28"/>
        </w:rPr>
      </w:pPr>
      <w:r w:rsidRPr="00255541">
        <w:rPr>
          <w:b/>
          <w:color w:val="0070C0"/>
          <w:sz w:val="28"/>
        </w:rPr>
        <w:t xml:space="preserve">Знание норм и правил поведения при чрезвычайных ситуациях </w:t>
      </w:r>
    </w:p>
    <w:p w:rsidR="00255541" w:rsidRPr="00255541" w:rsidRDefault="00255541" w:rsidP="00255541">
      <w:pPr>
        <w:jc w:val="center"/>
        <w:rPr>
          <w:b/>
          <w:color w:val="0070C0"/>
          <w:sz w:val="28"/>
        </w:rPr>
      </w:pPr>
      <w:r w:rsidRPr="00255541">
        <w:rPr>
          <w:b/>
          <w:color w:val="0070C0"/>
          <w:sz w:val="28"/>
        </w:rPr>
        <w:t>залог твоей безопасности</w:t>
      </w:r>
    </w:p>
    <w:p w:rsidR="00F81467" w:rsidRPr="00255541" w:rsidRDefault="00091585" w:rsidP="000714CB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255541">
        <w:rPr>
          <w:b/>
          <w:i/>
          <w:color w:val="C00000"/>
          <w:sz w:val="36"/>
          <w:szCs w:val="36"/>
        </w:rPr>
        <w:t xml:space="preserve">Единый телефон </w:t>
      </w:r>
      <w:r w:rsidR="00BC39EB">
        <w:rPr>
          <w:b/>
          <w:i/>
          <w:color w:val="C00000"/>
          <w:sz w:val="36"/>
          <w:szCs w:val="36"/>
        </w:rPr>
        <w:t>экстренных служб</w:t>
      </w:r>
      <w:r w:rsidRPr="00255541">
        <w:rPr>
          <w:b/>
          <w:i/>
          <w:color w:val="C00000"/>
          <w:sz w:val="36"/>
          <w:szCs w:val="36"/>
        </w:rPr>
        <w:t xml:space="preserve"> – 112</w:t>
      </w:r>
    </w:p>
    <w:sectPr w:rsidR="00F81467" w:rsidRPr="00255541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7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18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19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1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3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8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6"/>
  </w:num>
  <w:num w:numId="21">
    <w:abstractNumId w:val="12"/>
  </w:num>
  <w:num w:numId="22">
    <w:abstractNumId w:val="20"/>
  </w:num>
  <w:num w:numId="23">
    <w:abstractNumId w:val="15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14CB"/>
    <w:rsid w:val="000737AD"/>
    <w:rsid w:val="00091585"/>
    <w:rsid w:val="00124529"/>
    <w:rsid w:val="00150735"/>
    <w:rsid w:val="0016683C"/>
    <w:rsid w:val="00196211"/>
    <w:rsid w:val="00255541"/>
    <w:rsid w:val="00282CB0"/>
    <w:rsid w:val="0029346F"/>
    <w:rsid w:val="00376F47"/>
    <w:rsid w:val="003C1542"/>
    <w:rsid w:val="003F0293"/>
    <w:rsid w:val="00442CEB"/>
    <w:rsid w:val="00470A1A"/>
    <w:rsid w:val="0049407F"/>
    <w:rsid w:val="004C2BD8"/>
    <w:rsid w:val="004D6FF8"/>
    <w:rsid w:val="004E6760"/>
    <w:rsid w:val="004F55A5"/>
    <w:rsid w:val="005003FA"/>
    <w:rsid w:val="0050649B"/>
    <w:rsid w:val="005C513C"/>
    <w:rsid w:val="006231E8"/>
    <w:rsid w:val="006620DB"/>
    <w:rsid w:val="006A1917"/>
    <w:rsid w:val="00776436"/>
    <w:rsid w:val="00801450"/>
    <w:rsid w:val="008643D0"/>
    <w:rsid w:val="008C1787"/>
    <w:rsid w:val="00902E24"/>
    <w:rsid w:val="00911472"/>
    <w:rsid w:val="00921FFF"/>
    <w:rsid w:val="00925C86"/>
    <w:rsid w:val="00946711"/>
    <w:rsid w:val="00991A6C"/>
    <w:rsid w:val="009F6956"/>
    <w:rsid w:val="00A818B0"/>
    <w:rsid w:val="00AC1728"/>
    <w:rsid w:val="00B206AD"/>
    <w:rsid w:val="00BC39EB"/>
    <w:rsid w:val="00BC6631"/>
    <w:rsid w:val="00C079B8"/>
    <w:rsid w:val="00C12860"/>
    <w:rsid w:val="00C27DAF"/>
    <w:rsid w:val="00CB581E"/>
    <w:rsid w:val="00D8697D"/>
    <w:rsid w:val="00DA05A3"/>
    <w:rsid w:val="00DD52F4"/>
    <w:rsid w:val="00E11181"/>
    <w:rsid w:val="00E3360A"/>
    <w:rsid w:val="00F504A1"/>
    <w:rsid w:val="00F62792"/>
    <w:rsid w:val="00F7011D"/>
    <w:rsid w:val="00F8146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bk55.ru/fileadmin/bkinform/bk_info_orig_152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12rm.ru/wp-content/uploads/2015/03/pozhar-kvartira-pyanyj.jpg" TargetMode="External"/><Relationship Id="rId5" Type="http://schemas.openxmlformats.org/officeDocument/2006/relationships/image" Target="media/image1.tif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img02.rl0.ru/pgc/o/54b91a0a-d499-8e5d-d499-8e5214827e56.photo.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2253</CharactersWithSpaces>
  <SharedDoc>false</SharedDoc>
  <HLinks>
    <vt:vector size="18" baseType="variant">
      <vt:variant>
        <vt:i4>7077918</vt:i4>
      </vt:variant>
      <vt:variant>
        <vt:i4>-1</vt:i4>
      </vt:variant>
      <vt:variant>
        <vt:i4>1065</vt:i4>
      </vt:variant>
      <vt:variant>
        <vt:i4>1</vt:i4>
      </vt:variant>
      <vt:variant>
        <vt:lpwstr>http://bk55.ru/fileadmin/bkinform/bk_info_orig_15233.jpg</vt:lpwstr>
      </vt:variant>
      <vt:variant>
        <vt:lpwstr/>
      </vt:variant>
      <vt:variant>
        <vt:i4>2883630</vt:i4>
      </vt:variant>
      <vt:variant>
        <vt:i4>-1</vt:i4>
      </vt:variant>
      <vt:variant>
        <vt:i4>1066</vt:i4>
      </vt:variant>
      <vt:variant>
        <vt:i4>1</vt:i4>
      </vt:variant>
      <vt:variant>
        <vt:lpwstr>http://img02.rl0.ru/pgc/o/54b91a0a-d499-8e5d-d499-8e5214827e56.photo.0.jpg</vt:lpwstr>
      </vt:variant>
      <vt:variant>
        <vt:lpwstr/>
      </vt:variant>
      <vt:variant>
        <vt:i4>5832790</vt:i4>
      </vt:variant>
      <vt:variant>
        <vt:i4>-1</vt:i4>
      </vt:variant>
      <vt:variant>
        <vt:i4>1067</vt:i4>
      </vt:variant>
      <vt:variant>
        <vt:i4>1</vt:i4>
      </vt:variant>
      <vt:variant>
        <vt:lpwstr>http://www.12rm.ru/wp-content/uploads/2015/03/pozhar-kvartira-pyanyj.jpg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3</cp:revision>
  <cp:lastPrinted>2016-04-14T11:33:00Z</cp:lastPrinted>
  <dcterms:created xsi:type="dcterms:W3CDTF">2016-08-25T05:19:00Z</dcterms:created>
  <dcterms:modified xsi:type="dcterms:W3CDTF">2016-08-25T05:20:00Z</dcterms:modified>
</cp:coreProperties>
</file>